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0CCA3" w14:textId="77777777" w:rsidR="0078405B" w:rsidRPr="0078405B" w:rsidRDefault="0078405B" w:rsidP="001B79F9">
      <w:pPr>
        <w:spacing w:after="0" w:line="240" w:lineRule="auto"/>
        <w:jc w:val="both"/>
        <w:rPr>
          <w:rFonts w:ascii="Arial Narrow" w:eastAsia="Times New Roman" w:hAnsi="Arial Narrow" w:cs="Times New Roman"/>
          <w:kern w:val="0"/>
          <w:lang w:eastAsia="es-MX"/>
          <w14:ligatures w14:val="none"/>
        </w:rPr>
      </w:pPr>
      <w:r w:rsidRPr="0078405B">
        <w:rPr>
          <w:rFonts w:ascii="Arial Narrow" w:eastAsia="Times New Roman" w:hAnsi="Arial Narrow" w:cs="Arial"/>
          <w:color w:val="222222"/>
          <w:kern w:val="0"/>
          <w:shd w:val="clear" w:color="auto" w:fill="FFFFFF"/>
          <w:lang w:eastAsia="es-MX"/>
          <w14:ligatures w14:val="none"/>
        </w:rPr>
        <w:t>Respetad</w:t>
      </w:r>
      <w:r w:rsidRPr="001B79F9">
        <w:rPr>
          <w:rFonts w:ascii="Arial Narrow" w:eastAsia="Times New Roman" w:hAnsi="Arial Narrow" w:cs="Arial"/>
          <w:color w:val="222222"/>
          <w:kern w:val="0"/>
          <w:shd w:val="clear" w:color="auto" w:fill="FFFFFF"/>
          <w:lang w:eastAsia="es-MX"/>
          <w14:ligatures w14:val="none"/>
        </w:rPr>
        <w:t>o(a)</w:t>
      </w:r>
      <w:r w:rsidRPr="0078405B">
        <w:rPr>
          <w:rFonts w:ascii="Arial Narrow" w:eastAsia="Times New Roman" w:hAnsi="Arial Narrow" w:cs="Arial"/>
          <w:color w:val="222222"/>
          <w:kern w:val="0"/>
          <w:shd w:val="clear" w:color="auto" w:fill="FFFFFF"/>
          <w:lang w:eastAsia="es-MX"/>
          <w14:ligatures w14:val="none"/>
        </w:rPr>
        <w:t>:</w:t>
      </w: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br/>
      </w:r>
    </w:p>
    <w:p w14:paraId="68D74C46" w14:textId="77777777" w:rsidR="0078405B" w:rsidRPr="0078405B" w:rsidRDefault="0078405B" w:rsidP="001B79F9">
      <w:pPr>
        <w:spacing w:after="240" w:line="240" w:lineRule="auto"/>
        <w:jc w:val="both"/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</w:pP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De acuerdo con lo dispuesto por la Superintendencia de Sociedades en auto del 5 de marzo de 2025, los acreedores de AENCO deb</w:t>
      </w:r>
      <w:r w:rsidR="001B79F9" w:rsidRPr="001B79F9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ieron</w:t>
      </w: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 xml:space="preserve"> presentar sus créditos dentro de los veinte (20) días hábiles siguientes a la </w:t>
      </w:r>
      <w:proofErr w:type="spellStart"/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desfijación</w:t>
      </w:r>
      <w:proofErr w:type="spellEnd"/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 xml:space="preserve"> del aviso, es decir, hasta el 3 de junio del presente año, adjuntando prueba de su existencia y cuantía. </w:t>
      </w:r>
      <w:r w:rsidRPr="001B79F9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Si usted presento su reclamación</w:t>
      </w:r>
      <w:r w:rsidRPr="001B79F9">
        <w:rPr>
          <w:rFonts w:ascii="Arial Narrow" w:hAnsi="Arial Narrow" w:cs="Arial"/>
          <w:color w:val="222222"/>
          <w:shd w:val="clear" w:color="auto" w:fill="FFFFFF"/>
        </w:rPr>
        <w:t xml:space="preserve"> después de este término</w:t>
      </w:r>
      <w:r w:rsidRPr="001B79F9">
        <w:rPr>
          <w:rFonts w:ascii="Arial Narrow" w:hAnsi="Arial Narrow" w:cs="Arial"/>
          <w:color w:val="222222"/>
          <w:shd w:val="clear" w:color="auto" w:fill="FFFFFF"/>
        </w:rPr>
        <w:t xml:space="preserve"> su crédito</w:t>
      </w:r>
      <w:r w:rsidRPr="001B79F9">
        <w:rPr>
          <w:rFonts w:ascii="Arial Narrow" w:hAnsi="Arial Narrow" w:cs="Arial"/>
          <w:color w:val="222222"/>
          <w:shd w:val="clear" w:color="auto" w:fill="FFFFFF"/>
        </w:rPr>
        <w:t xml:space="preserve"> será incluid</w:t>
      </w:r>
      <w:r w:rsidRPr="001B79F9">
        <w:rPr>
          <w:rFonts w:ascii="Arial Narrow" w:hAnsi="Arial Narrow" w:cs="Arial"/>
          <w:color w:val="222222"/>
          <w:shd w:val="clear" w:color="auto" w:fill="FFFFFF"/>
        </w:rPr>
        <w:t>o</w:t>
      </w:r>
      <w:r w:rsidRPr="001B79F9">
        <w:rPr>
          <w:rFonts w:ascii="Arial Narrow" w:hAnsi="Arial Narrow" w:cs="Arial"/>
          <w:color w:val="222222"/>
          <w:shd w:val="clear" w:color="auto" w:fill="FFFFFF"/>
        </w:rPr>
        <w:t xml:space="preserve"> como</w:t>
      </w:r>
      <w:r w:rsidRPr="001B79F9">
        <w:rPr>
          <w:rFonts w:ascii="Arial Narrow" w:hAnsi="Arial Narrow" w:cs="Arial"/>
          <w:color w:val="222222"/>
          <w:shd w:val="clear" w:color="auto" w:fill="FFFFFF"/>
        </w:rPr>
        <w:t xml:space="preserve"> </w:t>
      </w:r>
      <w:r w:rsidRPr="001B79F9">
        <w:rPr>
          <w:rFonts w:ascii="Arial Narrow" w:hAnsi="Arial Narrow" w:cs="Arial"/>
          <w:color w:val="222222"/>
          <w:shd w:val="clear" w:color="auto" w:fill="FFFFFF"/>
        </w:rPr>
        <w:t>postergado de conformidad con la Ley 1116 de 2006.</w:t>
      </w:r>
      <w:r w:rsidRPr="001B79F9">
        <w:rPr>
          <w:rFonts w:ascii="Arial Narrow" w:hAnsi="Arial Narrow" w:cs="Arial"/>
          <w:color w:val="222222"/>
        </w:rPr>
        <w:t> </w:t>
      </w:r>
    </w:p>
    <w:p w14:paraId="26960913" w14:textId="65A4E402" w:rsidR="001B79F9" w:rsidRPr="001B79F9" w:rsidRDefault="0078405B" w:rsidP="001B79F9">
      <w:pPr>
        <w:spacing w:after="0" w:line="240" w:lineRule="auto"/>
        <w:jc w:val="both"/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</w:pP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 xml:space="preserve">Asimismo, le informo que el Proyecto de Calificación y Graduación de Créditos fue radicado el 12 de septiembre bajo el No. 2025-01-656997. Dicho proyecto está sujeto a la aprobación de la Superintendencia de Sociedades y </w:t>
      </w:r>
      <w:r w:rsidRPr="001B79F9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 xml:space="preserve">posteriormente </w:t>
      </w: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dará traslado a los acreedores para que presenten objeciones si considera que su crédito no fue calificado correctamente</w:t>
      </w:r>
      <w:r w:rsidR="001B79F9" w:rsidRPr="001B79F9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, adjuntando prueba sumaria de lo controvertido</w:t>
      </w: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. En ese sentido, usted deberá interponer objeción dentro del plazo fijado por la Superintendencia.</w:t>
      </w:r>
    </w:p>
    <w:p w14:paraId="64E6EA1A" w14:textId="39E8EC21" w:rsidR="0078405B" w:rsidRPr="0078405B" w:rsidRDefault="0078405B" w:rsidP="001B79F9">
      <w:pPr>
        <w:spacing w:after="0" w:line="240" w:lineRule="auto"/>
        <w:jc w:val="both"/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</w:pP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br/>
        <w:t>Para consultar el avance del proceso judicial</w:t>
      </w:r>
      <w:r w:rsidR="00003729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 xml:space="preserve"> y el traslado </w:t>
      </w:r>
      <w:r w:rsidR="00320606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 xml:space="preserve">del Proyecto </w:t>
      </w:r>
      <w:r w:rsidR="00320606"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de Calificación y Graduación de Créditos</w:t>
      </w:r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, puede ingresar a la Baranda Virtual (</w:t>
      </w:r>
      <w:hyperlink r:id="rId6" w:anchor="!/app/procesos" w:tgtFrame="_blank" w:history="1">
        <w:r w:rsidRPr="0078405B">
          <w:rPr>
            <w:rFonts w:ascii="Arial Narrow" w:eastAsia="Times New Roman" w:hAnsi="Arial Narrow" w:cs="Arial"/>
            <w:color w:val="1155CC"/>
            <w:kern w:val="0"/>
            <w:u w:val="single"/>
            <w:lang w:eastAsia="es-MX"/>
            <w14:ligatures w14:val="none"/>
          </w:rPr>
          <w:t>https://servicios.supersociedades.gov.co/barandaVirtual/#!/app/procesos</w:t>
        </w:r>
      </w:hyperlink>
      <w:r w:rsidRPr="0078405B"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  <w:t>) con el número de expediente 64098.</w:t>
      </w:r>
    </w:p>
    <w:p w14:paraId="09AFDD3C" w14:textId="77777777" w:rsidR="0078405B" w:rsidRPr="001B79F9" w:rsidRDefault="0078405B" w:rsidP="001B79F9">
      <w:pPr>
        <w:spacing w:after="0" w:line="240" w:lineRule="auto"/>
        <w:jc w:val="both"/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</w:pPr>
    </w:p>
    <w:p w14:paraId="3AC70EF4" w14:textId="65A34474" w:rsidR="001B79F9" w:rsidRPr="001B79F9" w:rsidRDefault="00320606" w:rsidP="001B79F9">
      <w:pPr>
        <w:jc w:val="both"/>
        <w:rPr>
          <w:rFonts w:ascii="Arial Narrow" w:hAnsi="Arial Narrow"/>
          <w:color w:val="000000"/>
        </w:rPr>
      </w:pPr>
      <w:r>
        <w:rPr>
          <w:rFonts w:ascii="Arial Narrow" w:hAnsi="Arial Narrow"/>
          <w:color w:val="000000"/>
        </w:rPr>
        <w:t>Adicionalmente</w:t>
      </w:r>
      <w:r w:rsidR="001B79F9" w:rsidRPr="001B79F9">
        <w:rPr>
          <w:rFonts w:ascii="Arial Narrow" w:hAnsi="Arial Narrow"/>
          <w:color w:val="000000"/>
        </w:rPr>
        <w:t xml:space="preserve">, como guía de las etapas del proceso de liquidación, me permito anexar el siguiente flujograma: </w:t>
      </w:r>
    </w:p>
    <w:p w14:paraId="01957D69" w14:textId="64D25D7F" w:rsidR="001B79F9" w:rsidRPr="001B79F9" w:rsidRDefault="006E2070" w:rsidP="001B79F9">
      <w:pPr>
        <w:jc w:val="both"/>
        <w:rPr>
          <w:rFonts w:ascii="Arial Narrow" w:hAnsi="Arial Narrow"/>
          <w:color w:val="000000"/>
        </w:rPr>
      </w:pP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59C739" wp14:editId="5091AC42">
                <wp:simplePos x="0" y="0"/>
                <wp:positionH relativeFrom="column">
                  <wp:posOffset>1833880</wp:posOffset>
                </wp:positionH>
                <wp:positionV relativeFrom="paragraph">
                  <wp:posOffset>582613</wp:posOffset>
                </wp:positionV>
                <wp:extent cx="493554" cy="0"/>
                <wp:effectExtent l="0" t="63500" r="0" b="76200"/>
                <wp:wrapNone/>
                <wp:docPr id="915350639" name="Conector recto de flech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554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140D4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5" o:spid="_x0000_s1026" type="#_x0000_t32" style="position:absolute;margin-left:144.4pt;margin-top:45.9pt;width:38.8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" strokecolor="red" strokeweight=".5pt">
                <v:stroke endarrow="block" joinstyle="miter"/>
              </v:shape>
            </w:pict>
          </mc:Fallback>
        </mc:AlternateContent>
      </w:r>
      <w:r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B69908" wp14:editId="78BD3064">
                <wp:simplePos x="0" y="0"/>
                <wp:positionH relativeFrom="column">
                  <wp:posOffset>290830</wp:posOffset>
                </wp:positionH>
                <wp:positionV relativeFrom="paragraph">
                  <wp:posOffset>317023</wp:posOffset>
                </wp:positionV>
                <wp:extent cx="1542891" cy="542925"/>
                <wp:effectExtent l="0" t="0" r="6985" b="15875"/>
                <wp:wrapNone/>
                <wp:docPr id="1031026069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2891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8FCC4D8" w14:textId="459F627D" w:rsidR="00665DB7" w:rsidRPr="00665DB7" w:rsidRDefault="00665DB7" w:rsidP="00665DB7">
                            <w:pPr>
                              <w:jc w:val="center"/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665DB7">
                              <w:rPr>
                                <w:rFonts w:ascii="Arial Narrow" w:hAnsi="Arial Narrow"/>
                                <w:lang w:val="es-ES_tradnl"/>
                              </w:rPr>
                              <w:t>Nos encontramos en esta etapa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B69908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22.9pt;margin-top:24.95pt;width:121.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" fillcolor="white [3201]" strokecolor="red" strokeweight=".5pt">
                <v:textbox>
                  <w:txbxContent>
                    <w:p w14:paraId="58FCC4D8" w14:textId="459F627D" w:rsidR="00665DB7" w:rsidRPr="00665DB7" w:rsidRDefault="00665DB7" w:rsidP="00665DB7">
                      <w:pPr>
                        <w:jc w:val="center"/>
                        <w:rPr>
                          <w:rFonts w:ascii="Arial Narrow" w:hAnsi="Arial Narrow"/>
                          <w:lang w:val="es-ES_tradnl"/>
                        </w:rPr>
                      </w:pPr>
                      <w:r w:rsidRPr="00665DB7">
                        <w:rPr>
                          <w:rFonts w:ascii="Arial Narrow" w:hAnsi="Arial Narrow"/>
                          <w:lang w:val="es-ES_tradnl"/>
                        </w:rPr>
                        <w:t>Nos encontramos en esta etapa</w:t>
                      </w:r>
                    </w:p>
                  </w:txbxContent>
                </v:textbox>
              </v:shape>
            </w:pict>
          </mc:Fallback>
        </mc:AlternateContent>
      </w:r>
      <w:r w:rsidR="001B79F9" w:rsidRPr="001B79F9">
        <w:rPr>
          <w:rFonts w:ascii="Arial Narrow" w:hAnsi="Arial Narrow"/>
          <w:noProof/>
          <w:color w:val="000000"/>
        </w:rPr>
        <w:drawing>
          <wp:inline distT="0" distB="0" distL="0" distR="0" wp14:anchorId="352AF251" wp14:editId="55CB660B">
            <wp:extent cx="6705274" cy="3764604"/>
            <wp:effectExtent l="0" t="0" r="635" b="0"/>
            <wp:docPr id="115895285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95285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1001" cy="3790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8E5A8" w14:textId="77777777" w:rsidR="001B79F9" w:rsidRPr="001B79F9" w:rsidRDefault="001B79F9" w:rsidP="001B79F9">
      <w:pPr>
        <w:jc w:val="both"/>
        <w:rPr>
          <w:rFonts w:ascii="Arial Narrow" w:hAnsi="Arial Narrow"/>
          <w:color w:val="000000"/>
        </w:rPr>
      </w:pPr>
      <w:r w:rsidRPr="001B79F9">
        <w:rPr>
          <w:rFonts w:ascii="Arial Narrow" w:hAnsi="Arial Narrow"/>
          <w:noProof/>
          <w:color w:val="000000"/>
        </w:rPr>
        <w:lastRenderedPageBreak/>
        <w:drawing>
          <wp:inline distT="0" distB="0" distL="0" distR="0" wp14:anchorId="2B0F4262" wp14:editId="03727DFA">
            <wp:extent cx="6425613" cy="3073941"/>
            <wp:effectExtent l="0" t="0" r="635" b="0"/>
            <wp:docPr id="5359904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99047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63618" cy="309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F46EF" w14:textId="77777777" w:rsidR="001B79F9" w:rsidRPr="001B79F9" w:rsidRDefault="001B79F9" w:rsidP="001B79F9">
      <w:pPr>
        <w:jc w:val="both"/>
        <w:rPr>
          <w:rFonts w:ascii="Arial Narrow" w:hAnsi="Arial Narrow"/>
          <w:color w:val="000000"/>
        </w:rPr>
      </w:pPr>
    </w:p>
    <w:p w14:paraId="4CA10927" w14:textId="77777777" w:rsidR="001B79F9" w:rsidRPr="001B79F9" w:rsidRDefault="001B79F9" w:rsidP="001B79F9">
      <w:pPr>
        <w:jc w:val="both"/>
        <w:rPr>
          <w:rFonts w:ascii="Arial Narrow" w:hAnsi="Arial Narrow"/>
          <w:color w:val="000000"/>
        </w:rPr>
      </w:pPr>
      <w:r w:rsidRPr="001B79F9">
        <w:rPr>
          <w:rFonts w:ascii="Arial Narrow" w:hAnsi="Arial Narrow"/>
          <w:color w:val="000000"/>
        </w:rPr>
        <w:t xml:space="preserve">Cordialmente, </w:t>
      </w:r>
    </w:p>
    <w:p w14:paraId="58E8FE33" w14:textId="77777777" w:rsidR="001B79F9" w:rsidRPr="001B79F9" w:rsidRDefault="001B79F9" w:rsidP="001B79F9">
      <w:pPr>
        <w:jc w:val="both"/>
        <w:rPr>
          <w:rFonts w:ascii="Arial Narrow" w:hAnsi="Arial Narrow"/>
          <w:color w:val="000000"/>
        </w:rPr>
      </w:pPr>
    </w:p>
    <w:p w14:paraId="7D6CCCFB" w14:textId="77777777" w:rsidR="001B79F9" w:rsidRPr="001B79F9" w:rsidRDefault="001B79F9" w:rsidP="007E27B1">
      <w:pPr>
        <w:pStyle w:val="NormalWeb"/>
        <w:spacing w:line="276" w:lineRule="auto"/>
        <w:jc w:val="center"/>
        <w:rPr>
          <w:rFonts w:ascii="Arial Narrow" w:eastAsia="Arial Narrow" w:hAnsi="Arial Narrow" w:cs="Arial Narrow"/>
          <w:color w:val="000000"/>
          <w:kern w:val="2"/>
          <w:lang w:eastAsia="en-US"/>
          <w14:ligatures w14:val="standardContextual"/>
        </w:rPr>
      </w:pPr>
    </w:p>
    <w:p w14:paraId="5200ACF2" w14:textId="77777777" w:rsidR="001B79F9" w:rsidRPr="001B79F9" w:rsidRDefault="001B79F9" w:rsidP="007E27B1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Arial Narrow" w:eastAsia="Arial Narrow" w:hAnsi="Arial Narrow" w:cs="Arial Narrow"/>
          <w:b/>
          <w:bCs/>
          <w:color w:val="000000"/>
        </w:rPr>
      </w:pPr>
      <w:r w:rsidRPr="001B79F9">
        <w:rPr>
          <w:rFonts w:ascii="Arial Narrow" w:eastAsia="Arial Narrow" w:hAnsi="Arial Narrow" w:cs="Arial Narrow"/>
          <w:b/>
          <w:bCs/>
          <w:color w:val="000000"/>
        </w:rPr>
        <w:t>JUAN MANUEL DÍAZ GUERRERO</w:t>
      </w:r>
    </w:p>
    <w:p w14:paraId="7EF7B22D" w14:textId="77777777" w:rsidR="001B79F9" w:rsidRPr="001B79F9" w:rsidRDefault="001B79F9" w:rsidP="007E27B1">
      <w:pPr>
        <w:spacing w:after="0" w:line="276" w:lineRule="auto"/>
        <w:ind w:left="851" w:right="900"/>
        <w:jc w:val="center"/>
        <w:rPr>
          <w:rFonts w:ascii="Arial Narrow" w:eastAsia="Arial Narrow" w:hAnsi="Arial Narrow" w:cs="Arial Narrow"/>
        </w:rPr>
      </w:pPr>
      <w:r w:rsidRPr="001B79F9">
        <w:rPr>
          <w:rFonts w:ascii="Arial Narrow" w:eastAsia="Arial Narrow" w:hAnsi="Arial Narrow" w:cs="Arial Narrow"/>
          <w:color w:val="000000"/>
        </w:rPr>
        <w:t xml:space="preserve">LIQUIDADOR DE </w:t>
      </w:r>
      <w:r w:rsidRPr="001B79F9">
        <w:rPr>
          <w:rFonts w:ascii="Arial Narrow" w:eastAsia="Arial Narrow" w:hAnsi="Arial Narrow" w:cs="Arial Narrow"/>
        </w:rPr>
        <w:t>ALIADOS ENERGÉTICOS DE COLOMBIA S.A.S. EN LIQUIDACIÓN JUDICIAL</w:t>
      </w:r>
    </w:p>
    <w:p w14:paraId="7F7B689F" w14:textId="77777777" w:rsidR="001B79F9" w:rsidRPr="001B79F9" w:rsidRDefault="001B79F9" w:rsidP="001B79F9">
      <w:pPr>
        <w:jc w:val="both"/>
        <w:rPr>
          <w:rFonts w:ascii="Arial Narrow" w:hAnsi="Arial Narrow"/>
        </w:rPr>
      </w:pPr>
    </w:p>
    <w:p w14:paraId="3C699AC4" w14:textId="77777777" w:rsidR="001B79F9" w:rsidRPr="0078405B" w:rsidRDefault="001B79F9" w:rsidP="001B79F9">
      <w:pPr>
        <w:spacing w:after="0" w:line="240" w:lineRule="auto"/>
        <w:jc w:val="both"/>
        <w:rPr>
          <w:rFonts w:ascii="Arial Narrow" w:eastAsia="Times New Roman" w:hAnsi="Arial Narrow" w:cs="Arial"/>
          <w:color w:val="222222"/>
          <w:kern w:val="0"/>
          <w:lang w:eastAsia="es-MX"/>
          <w14:ligatures w14:val="none"/>
        </w:rPr>
      </w:pPr>
    </w:p>
    <w:p w14:paraId="08CA9E6E" w14:textId="77777777" w:rsidR="0078405B" w:rsidRPr="001B79F9" w:rsidRDefault="0078405B" w:rsidP="001B79F9">
      <w:pPr>
        <w:jc w:val="both"/>
        <w:rPr>
          <w:rFonts w:ascii="Arial Narrow" w:hAnsi="Arial Narrow"/>
        </w:rPr>
      </w:pPr>
    </w:p>
    <w:sectPr w:rsidR="0078405B" w:rsidRPr="001B79F9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D75B1" w14:textId="77777777" w:rsidR="00696BCE" w:rsidRDefault="00696BCE" w:rsidP="005F08A6">
      <w:pPr>
        <w:spacing w:after="0" w:line="240" w:lineRule="auto"/>
      </w:pPr>
      <w:r>
        <w:separator/>
      </w:r>
    </w:p>
  </w:endnote>
  <w:endnote w:type="continuationSeparator" w:id="0">
    <w:p w14:paraId="1BEAB479" w14:textId="77777777" w:rsidR="00696BCE" w:rsidRDefault="00696BCE" w:rsidP="005F0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53DFD" w14:textId="77777777" w:rsidR="005F08A6" w:rsidRDefault="005F08A6" w:rsidP="005F08A6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sz w:val="18"/>
        <w:szCs w:val="18"/>
      </w:rPr>
    </w:pPr>
    <w:hyperlink r:id="rId1" w:history="1">
      <w:r w:rsidRPr="00393B44">
        <w:rPr>
          <w:rStyle w:val="normaltextrun"/>
          <w:rFonts w:ascii="Calibri" w:eastAsiaTheme="majorEastAsia" w:hAnsi="Calibri" w:cs="Calibri"/>
          <w:color w:val="215E99"/>
          <w:sz w:val="18"/>
          <w:szCs w:val="18"/>
        </w:rPr>
        <w:t>Liquidador.jmdg@gmail.com</w:t>
      </w:r>
    </w:hyperlink>
    <w:r w:rsidRPr="00393B44">
      <w:rPr>
        <w:rStyle w:val="normaltextrun"/>
        <w:rFonts w:ascii="Calibri" w:eastAsiaTheme="majorEastAsia" w:hAnsi="Calibri" w:cs="Calibri"/>
        <w:color w:val="215E99"/>
        <w:sz w:val="18"/>
        <w:szCs w:val="18"/>
      </w:rPr>
      <w:t>  /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 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hyperlink r:id="rId2" w:tgtFrame="_blank" w:history="1">
      <w:r>
        <w:rPr>
          <w:rStyle w:val="normaltextrun"/>
          <w:rFonts w:ascii="Calibri" w:eastAsiaTheme="majorEastAsia" w:hAnsi="Calibri" w:cs="Calibri"/>
          <w:color w:val="215E99"/>
          <w:sz w:val="18"/>
          <w:szCs w:val="18"/>
        </w:rPr>
        <w:t>jmdiaz@cremadescalvosotelo.com</w:t>
      </w:r>
    </w:hyperlink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-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PBX: +576019142147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– </w:t>
    </w:r>
    <w:r>
      <w:rPr>
        <w:rStyle w:val="eop"/>
        <w:rFonts w:ascii="Calibri" w:eastAsiaTheme="majorEastAsia" w:hAnsi="Calibri" w:cs="Calibri"/>
        <w:color w:val="215E99"/>
        <w:sz w:val="18"/>
        <w:szCs w:val="18"/>
      </w:rPr>
      <w:t> </w:t>
    </w:r>
  </w:p>
  <w:p w14:paraId="4047FC56" w14:textId="77777777" w:rsidR="005F08A6" w:rsidRPr="005F08A6" w:rsidRDefault="005F08A6" w:rsidP="005F08A6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Calle 100 No. 8 A 37 Torre A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proofErr w:type="spellStart"/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Of</w:t>
    </w:r>
    <w:proofErr w:type="spellEnd"/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601, Bogotá D.C.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-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</w:rPr>
      <w:t> </w:t>
    </w:r>
    <w:hyperlink r:id="rId3" w:tgtFrame="_blank" w:history="1">
      <w:r>
        <w:rPr>
          <w:rStyle w:val="normaltextrun"/>
          <w:rFonts w:ascii="Calibri" w:eastAsiaTheme="majorEastAsia" w:hAnsi="Calibri" w:cs="Calibri"/>
          <w:color w:val="215E99"/>
          <w:sz w:val="18"/>
          <w:szCs w:val="18"/>
        </w:rPr>
        <w:t>www.juanmanueldiazguerrero.com</w:t>
      </w:r>
    </w:hyperlink>
    <w:r>
      <w:rPr>
        <w:rStyle w:val="normaltextrun"/>
        <w:rFonts w:ascii="Calibri" w:eastAsiaTheme="majorEastAsia" w:hAnsi="Calibri" w:cs="Calibri"/>
        <w:color w:val="215E99"/>
        <w:sz w:val="18"/>
        <w:szCs w:val="18"/>
      </w:rPr>
      <w:t> </w:t>
    </w:r>
    <w:r>
      <w:rPr>
        <w:rStyle w:val="eop"/>
        <w:rFonts w:ascii="Calibri" w:eastAsiaTheme="majorEastAsia" w:hAnsi="Calibri" w:cs="Calibri"/>
        <w:color w:val="215E99"/>
        <w:sz w:val="18"/>
        <w:szCs w:val="18"/>
      </w:rPr>
      <w:t>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BBF0C" w14:textId="77777777" w:rsidR="00696BCE" w:rsidRDefault="00696BCE" w:rsidP="005F08A6">
      <w:pPr>
        <w:spacing w:after="0" w:line="240" w:lineRule="auto"/>
      </w:pPr>
      <w:r>
        <w:separator/>
      </w:r>
    </w:p>
  </w:footnote>
  <w:footnote w:type="continuationSeparator" w:id="0">
    <w:p w14:paraId="23D48F86" w14:textId="77777777" w:rsidR="00696BCE" w:rsidRDefault="00696BCE" w:rsidP="005F08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315BD" w14:textId="77777777" w:rsidR="005F08A6" w:rsidRDefault="005F08A6" w:rsidP="005F08A6">
    <w:pPr>
      <w:pStyle w:val="paragraph"/>
      <w:spacing w:before="0" w:beforeAutospacing="0" w:after="0" w:afterAutospacing="0"/>
      <w:jc w:val="right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Calibri" w:eastAsiaTheme="majorEastAsia" w:hAnsi="Calibri" w:cs="Calibri"/>
        <w:color w:val="215E99"/>
        <w:sz w:val="18"/>
        <w:szCs w:val="18"/>
        <w:lang w:val="es-ES"/>
      </w:rPr>
      <w:t>Juan Manuel Díaz Guerrero</w:t>
    </w:r>
    <w:r>
      <w:rPr>
        <w:rStyle w:val="eop"/>
        <w:rFonts w:ascii="Calibri" w:eastAsiaTheme="majorEastAsia" w:hAnsi="Calibri" w:cs="Calibri"/>
        <w:color w:val="215E99"/>
        <w:sz w:val="18"/>
        <w:szCs w:val="18"/>
      </w:rPr>
      <w:t> </w:t>
    </w:r>
  </w:p>
  <w:p w14:paraId="45F5B586" w14:textId="77777777" w:rsidR="005F08A6" w:rsidRDefault="005F08A6" w:rsidP="005F08A6">
    <w:pPr>
      <w:pStyle w:val="paragraph"/>
      <w:spacing w:before="0" w:beforeAutospacing="0" w:after="0" w:afterAutospacing="0"/>
      <w:jc w:val="right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Calibri" w:eastAsiaTheme="majorEastAsia" w:hAnsi="Calibri" w:cs="Calibri"/>
        <w:color w:val="215E99"/>
        <w:sz w:val="18"/>
        <w:szCs w:val="18"/>
        <w:lang w:val="es-ES"/>
      </w:rPr>
      <w:t>Aliados Energéticos de Colombia S.A.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  <w:lang w:val="es-ES"/>
      </w:rPr>
      <w:t> 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  <w:lang w:val="es-ES"/>
      </w:rPr>
      <w:t>en Liquidación</w:t>
    </w:r>
    <w:r>
      <w:rPr>
        <w:rStyle w:val="apple-converted-space"/>
        <w:rFonts w:ascii="Calibri" w:eastAsiaTheme="majorEastAsia" w:hAnsi="Calibri" w:cs="Calibri"/>
        <w:color w:val="215E99"/>
        <w:sz w:val="18"/>
        <w:szCs w:val="18"/>
        <w:lang w:val="es-ES"/>
      </w:rPr>
      <w:t> </w:t>
    </w:r>
    <w:r>
      <w:rPr>
        <w:rStyle w:val="normaltextrun"/>
        <w:rFonts w:ascii="Calibri" w:eastAsiaTheme="majorEastAsia" w:hAnsi="Calibri" w:cs="Calibri"/>
        <w:color w:val="215E99"/>
        <w:sz w:val="18"/>
        <w:szCs w:val="18"/>
        <w:lang w:val="es-ES"/>
      </w:rPr>
      <w:t>Judicial</w:t>
    </w:r>
    <w:r>
      <w:rPr>
        <w:rStyle w:val="eop"/>
        <w:rFonts w:ascii="Calibri" w:eastAsiaTheme="majorEastAsia" w:hAnsi="Calibri" w:cs="Calibri"/>
        <w:color w:val="215E99"/>
        <w:sz w:val="18"/>
        <w:szCs w:val="18"/>
      </w:rPr>
      <w:t> </w:t>
    </w:r>
  </w:p>
  <w:p w14:paraId="7E41A28D" w14:textId="77777777" w:rsidR="005F08A6" w:rsidRDefault="005F08A6" w:rsidP="005F08A6">
    <w:pPr>
      <w:pStyle w:val="paragraph"/>
      <w:spacing w:before="0" w:beforeAutospacing="0" w:after="0" w:afterAutospacing="0"/>
      <w:jc w:val="right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Calibri" w:eastAsiaTheme="majorEastAsia" w:hAnsi="Calibri" w:cs="Calibri"/>
        <w:color w:val="215E99"/>
        <w:sz w:val="18"/>
        <w:szCs w:val="18"/>
        <w:lang w:val="es-ES"/>
      </w:rPr>
      <w:t>Liquidador</w:t>
    </w:r>
    <w:r>
      <w:rPr>
        <w:rStyle w:val="eop"/>
        <w:rFonts w:ascii="Calibri" w:eastAsiaTheme="majorEastAsia" w:hAnsi="Calibri" w:cs="Calibri"/>
        <w:color w:val="215E99"/>
        <w:sz w:val="18"/>
        <w:szCs w:val="18"/>
      </w:rPr>
      <w:t> </w:t>
    </w:r>
  </w:p>
  <w:p w14:paraId="3706095D" w14:textId="77777777" w:rsidR="005F08A6" w:rsidRDefault="005F08A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05B"/>
    <w:rsid w:val="00003729"/>
    <w:rsid w:val="0010253F"/>
    <w:rsid w:val="001B79F9"/>
    <w:rsid w:val="00320606"/>
    <w:rsid w:val="00367C6D"/>
    <w:rsid w:val="005F08A6"/>
    <w:rsid w:val="005F12CC"/>
    <w:rsid w:val="00665DB7"/>
    <w:rsid w:val="00696BCE"/>
    <w:rsid w:val="006E2070"/>
    <w:rsid w:val="00724B47"/>
    <w:rsid w:val="0078405B"/>
    <w:rsid w:val="007E27B1"/>
    <w:rsid w:val="00A02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1471F"/>
  <w15:chartTrackingRefBased/>
  <w15:docId w15:val="{E9233936-8C01-6945-BEEA-4FA07BFBF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840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840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840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840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840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840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840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840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840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840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840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840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8405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8405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8405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8405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8405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8405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840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84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840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840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840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8405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8405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8405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840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8405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8405B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78405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B7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5F08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08A6"/>
  </w:style>
  <w:style w:type="paragraph" w:styleId="Piedepgina">
    <w:name w:val="footer"/>
    <w:basedOn w:val="Normal"/>
    <w:link w:val="PiedepginaCar"/>
    <w:uiPriority w:val="99"/>
    <w:unhideWhenUsed/>
    <w:rsid w:val="005F08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08A6"/>
  </w:style>
  <w:style w:type="paragraph" w:customStyle="1" w:styleId="paragraph">
    <w:name w:val="paragraph"/>
    <w:basedOn w:val="Normal"/>
    <w:rsid w:val="005F0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customStyle="1" w:styleId="eop">
    <w:name w:val="eop"/>
    <w:basedOn w:val="Fuentedeprrafopredeter"/>
    <w:rsid w:val="005F08A6"/>
  </w:style>
  <w:style w:type="character" w:customStyle="1" w:styleId="normaltextrun">
    <w:name w:val="normaltextrun"/>
    <w:basedOn w:val="Fuentedeprrafopredeter"/>
    <w:rsid w:val="005F08A6"/>
  </w:style>
  <w:style w:type="character" w:customStyle="1" w:styleId="apple-converted-space">
    <w:name w:val="apple-converted-space"/>
    <w:basedOn w:val="Fuentedeprrafopredeter"/>
    <w:rsid w:val="005F0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7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5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rvicios.supersociedades.gov.co/barandaVirtual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juanmanueldiazguerrero.com" TargetMode="External"/><Relationship Id="rId2" Type="http://schemas.openxmlformats.org/officeDocument/2006/relationships/hyperlink" Target="https://about:blank" TargetMode="External"/><Relationship Id="rId1" Type="http://schemas.openxmlformats.org/officeDocument/2006/relationships/hyperlink" Target="mailto:Liquidador.jmdg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244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Camila Diaz Avilan</dc:creator>
  <cp:keywords/>
  <dc:description/>
  <cp:lastModifiedBy>Maria Camila Diaz Avilan</cp:lastModifiedBy>
  <cp:revision>10</cp:revision>
  <dcterms:created xsi:type="dcterms:W3CDTF">2025-09-22T13:36:00Z</dcterms:created>
  <dcterms:modified xsi:type="dcterms:W3CDTF">2025-09-22T17:03:00Z</dcterms:modified>
</cp:coreProperties>
</file>